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C" w:rsidRPr="003C0F95" w:rsidRDefault="00061104" w:rsidP="00061104">
      <w:pPr>
        <w:pStyle w:val="2"/>
        <w:ind w:firstLine="11520"/>
        <w:jc w:val="center"/>
        <w:rPr>
          <w:bCs w:val="0"/>
        </w:rPr>
      </w:pPr>
      <w:r>
        <w:rPr>
          <w:rFonts w:ascii="Times New Roman" w:hAnsi="Times New Roman" w:cs="Times New Roman"/>
          <w:b w:val="0"/>
        </w:rPr>
        <w:t xml:space="preserve">            УТВЕРЖДАЮ</w:t>
      </w:r>
    </w:p>
    <w:p w:rsidR="003C0F95" w:rsidRDefault="00061104" w:rsidP="006C7519">
      <w:pPr>
        <w:ind w:firstLine="11520"/>
        <w:jc w:val="right"/>
        <w:rPr>
          <w:bCs/>
        </w:rPr>
      </w:pPr>
      <w:r>
        <w:rPr>
          <w:bCs/>
        </w:rPr>
        <w:t>Зам.</w:t>
      </w:r>
      <w:r w:rsidR="006C7519" w:rsidRPr="003C0F95">
        <w:rPr>
          <w:bCs/>
        </w:rPr>
        <w:t xml:space="preserve"> главного инженера </w:t>
      </w:r>
    </w:p>
    <w:p w:rsidR="0081602C" w:rsidRPr="003C0F95" w:rsidRDefault="00061104" w:rsidP="00061104">
      <w:pPr>
        <w:ind w:left="12036" w:firstLine="684"/>
        <w:jc w:val="center"/>
        <w:rPr>
          <w:bCs/>
        </w:rPr>
      </w:pPr>
      <w:r>
        <w:rPr>
          <w:bCs/>
        </w:rPr>
        <w:t xml:space="preserve">  </w:t>
      </w:r>
      <w:r w:rsidR="006C7519" w:rsidRPr="003C0F95">
        <w:rPr>
          <w:bCs/>
        </w:rPr>
        <w:t xml:space="preserve">по теплоснабжению </w:t>
      </w:r>
      <w:r>
        <w:rPr>
          <w:bCs/>
        </w:rPr>
        <w:br/>
        <w:t xml:space="preserve"> </w:t>
      </w:r>
      <w:r w:rsidR="006C7519" w:rsidRPr="003C0F95">
        <w:rPr>
          <w:bCs/>
        </w:rPr>
        <w:t>ООО «СГЭС»</w:t>
      </w:r>
    </w:p>
    <w:p w:rsidR="0081602C" w:rsidRPr="003C0F95" w:rsidRDefault="0081602C" w:rsidP="0081602C">
      <w:pPr>
        <w:ind w:firstLine="11520"/>
        <w:rPr>
          <w:bCs/>
        </w:rPr>
      </w:pPr>
    </w:p>
    <w:p w:rsidR="006C7519" w:rsidRDefault="006C7519" w:rsidP="006C7519">
      <w:pPr>
        <w:ind w:firstLine="11520"/>
        <w:jc w:val="right"/>
        <w:rPr>
          <w:bCs/>
        </w:rPr>
      </w:pPr>
      <w:r w:rsidRPr="003C0F95">
        <w:rPr>
          <w:bCs/>
        </w:rPr>
        <w:t>_________________ А.Е.Марченков</w:t>
      </w:r>
    </w:p>
    <w:p w:rsidR="003C0F95" w:rsidRPr="003C0F95" w:rsidRDefault="003C0F95" w:rsidP="006C7519">
      <w:pPr>
        <w:ind w:firstLine="11520"/>
        <w:jc w:val="right"/>
        <w:rPr>
          <w:bCs/>
        </w:rPr>
      </w:pPr>
    </w:p>
    <w:p w:rsidR="0081602C" w:rsidRPr="003C0F95" w:rsidRDefault="0081602C" w:rsidP="006C7519">
      <w:pPr>
        <w:ind w:firstLine="11520"/>
        <w:jc w:val="right"/>
        <w:rPr>
          <w:bCs/>
        </w:rPr>
      </w:pPr>
      <w:r w:rsidRPr="003C0F95">
        <w:rPr>
          <w:bCs/>
        </w:rPr>
        <w:t>«___»____________________ 201</w:t>
      </w:r>
      <w:r w:rsidR="00A8394B" w:rsidRPr="003C0F95">
        <w:rPr>
          <w:bCs/>
        </w:rPr>
        <w:t>5</w:t>
      </w:r>
      <w:r w:rsidRPr="003C0F95">
        <w:rPr>
          <w:bCs/>
        </w:rPr>
        <w:t>г.</w:t>
      </w:r>
    </w:p>
    <w:p w:rsidR="00B25116" w:rsidRPr="00180969" w:rsidRDefault="00B25116">
      <w:pPr>
        <w:pStyle w:val="a3"/>
        <w:tabs>
          <w:tab w:val="clear" w:pos="4677"/>
          <w:tab w:val="clear" w:pos="9355"/>
        </w:tabs>
        <w:rPr>
          <w:noProof/>
        </w:rPr>
      </w:pPr>
    </w:p>
    <w:p w:rsidR="00B25116" w:rsidRPr="00F14C0B" w:rsidRDefault="00B25116"/>
    <w:p w:rsidR="00221C05" w:rsidRDefault="00221C05" w:rsidP="00881B56">
      <w:pPr>
        <w:pStyle w:val="1"/>
        <w:jc w:val="left"/>
        <w:rPr>
          <w:rFonts w:ascii="Arial Narrow" w:hAnsi="Arial Narrow"/>
          <w:sz w:val="28"/>
        </w:rPr>
      </w:pPr>
    </w:p>
    <w:p w:rsidR="009A3941" w:rsidRPr="009A3941" w:rsidRDefault="009A3941" w:rsidP="009A3941"/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F76954" w:rsidRDefault="009A3941" w:rsidP="00F76954">
      <w:pPr>
        <w:pStyle w:val="1"/>
        <w:rPr>
          <w:sz w:val="24"/>
        </w:rPr>
      </w:pPr>
      <w:r>
        <w:rPr>
          <w:sz w:val="24"/>
        </w:rPr>
        <w:t>н</w:t>
      </w:r>
      <w:r w:rsidR="00061104">
        <w:rPr>
          <w:sz w:val="24"/>
        </w:rPr>
        <w:t>а реконструкцию</w:t>
      </w:r>
      <w:r w:rsidR="00F76954">
        <w:rPr>
          <w:sz w:val="24"/>
        </w:rPr>
        <w:t xml:space="preserve"> </w:t>
      </w:r>
      <w:r w:rsidR="00061104">
        <w:rPr>
          <w:sz w:val="24"/>
        </w:rPr>
        <w:t xml:space="preserve">кирпичных </w:t>
      </w:r>
      <w:r w:rsidR="00F76954">
        <w:rPr>
          <w:sz w:val="24"/>
        </w:rPr>
        <w:t xml:space="preserve">газоходов </w:t>
      </w:r>
      <w:r w:rsidR="00061104">
        <w:rPr>
          <w:sz w:val="24"/>
        </w:rPr>
        <w:t>водогрейных котлов №4,5  пиковой котельной тепловых сетей</w:t>
      </w:r>
    </w:p>
    <w:p w:rsidR="00881B56" w:rsidRDefault="00881B56" w:rsidP="00061104">
      <w:pPr>
        <w:pStyle w:val="1"/>
        <w:jc w:val="left"/>
        <w:rPr>
          <w:sz w:val="24"/>
        </w:rPr>
      </w:pPr>
    </w:p>
    <w:p w:rsidR="001451EE" w:rsidRPr="00247F29" w:rsidRDefault="001451EE" w:rsidP="001451EE"/>
    <w:tbl>
      <w:tblPr>
        <w:tblW w:w="15040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780"/>
        <w:gridCol w:w="10496"/>
      </w:tblGrid>
      <w:tr w:rsidR="00B25116" w:rsidRPr="009F03B7" w:rsidTr="003C0F95">
        <w:trPr>
          <w:trHeight w:val="636"/>
          <w:tblHeader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3C0F95">
        <w:trPr>
          <w:trHeight w:val="406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9F03B7" w:rsidTr="003C0F95">
        <w:trPr>
          <w:trHeight w:val="725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25116" w:rsidRPr="00013BAA" w:rsidRDefault="005E0D9F" w:rsidP="005E0D9F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Кирпичные г</w:t>
            </w:r>
            <w:r w:rsidR="00A8394B">
              <w:rPr>
                <w:color w:val="000000"/>
                <w:sz w:val="22"/>
                <w:szCs w:val="22"/>
              </w:rPr>
              <w:t>азоходы водогрейных котлов №4,5</w:t>
            </w:r>
            <w:r w:rsidR="00517CB8">
              <w:rPr>
                <w:color w:val="000000"/>
                <w:sz w:val="22"/>
                <w:szCs w:val="22"/>
              </w:rPr>
              <w:t xml:space="preserve"> 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F76954">
              <w:rPr>
                <w:color w:val="000000"/>
                <w:sz w:val="22"/>
                <w:szCs w:val="22"/>
              </w:rPr>
              <w:t>п</w:t>
            </w:r>
            <w:r w:rsidR="00517CB8">
              <w:rPr>
                <w:color w:val="000000"/>
                <w:sz w:val="22"/>
                <w:szCs w:val="22"/>
              </w:rPr>
              <w:t xml:space="preserve">иковой 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517CB8">
              <w:rPr>
                <w:color w:val="000000"/>
                <w:sz w:val="22"/>
                <w:szCs w:val="22"/>
              </w:rPr>
              <w:t>котельной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517CB8">
              <w:rPr>
                <w:color w:val="000000"/>
                <w:sz w:val="22"/>
                <w:szCs w:val="22"/>
              </w:rPr>
              <w:t xml:space="preserve"> </w:t>
            </w:r>
            <w:r w:rsidR="00F76954">
              <w:rPr>
                <w:color w:val="000000"/>
                <w:sz w:val="22"/>
                <w:szCs w:val="22"/>
              </w:rPr>
              <w:t>№13</w:t>
            </w:r>
          </w:p>
        </w:tc>
      </w:tr>
      <w:tr w:rsidR="001451EE" w:rsidRPr="009F03B7" w:rsidTr="003C0F95">
        <w:trPr>
          <w:trHeight w:val="530"/>
        </w:trPr>
        <w:tc>
          <w:tcPr>
            <w:tcW w:w="764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9B6D01" w:rsidRPr="00013BAA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="00F76954">
              <w:rPr>
                <w:sz w:val="22"/>
                <w:szCs w:val="22"/>
              </w:rPr>
              <w:t>Ханты-Мансийский автономный округ</w:t>
            </w:r>
            <w:r w:rsidRPr="00013BAA">
              <w:rPr>
                <w:sz w:val="22"/>
                <w:szCs w:val="22"/>
              </w:rPr>
              <w:t>, г.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Сургут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пр. Мира, 41</w:t>
            </w:r>
          </w:p>
        </w:tc>
      </w:tr>
      <w:tr w:rsidR="001451EE" w:rsidRPr="009F03B7" w:rsidTr="003C0F95">
        <w:trPr>
          <w:trHeight w:val="533"/>
        </w:trPr>
        <w:tc>
          <w:tcPr>
            <w:tcW w:w="764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0496" w:type="dxa"/>
            <w:vAlign w:val="center"/>
          </w:tcPr>
          <w:p w:rsidR="002D7E7F" w:rsidRDefault="002D7E7F" w:rsidP="002D7E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Заменяемые газоходы предназначены для удаления продуктов сгорания природного газа от котлов </w:t>
            </w:r>
          </w:p>
          <w:p w:rsidR="00795F36" w:rsidRPr="00E050B3" w:rsidRDefault="002D7E7F" w:rsidP="00F769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F76954">
              <w:rPr>
                <w:color w:val="000000"/>
                <w:sz w:val="22"/>
                <w:szCs w:val="22"/>
              </w:rPr>
              <w:t>ВГМ-100 №№4,5 установленных на п</w:t>
            </w:r>
            <w:r>
              <w:rPr>
                <w:color w:val="000000"/>
                <w:sz w:val="22"/>
                <w:szCs w:val="22"/>
              </w:rPr>
              <w:t xml:space="preserve">иковой </w:t>
            </w:r>
            <w:r w:rsidR="00F76954">
              <w:rPr>
                <w:color w:val="000000"/>
                <w:sz w:val="22"/>
                <w:szCs w:val="22"/>
              </w:rPr>
              <w:t>котельной №13</w:t>
            </w:r>
            <w:r>
              <w:rPr>
                <w:color w:val="000000"/>
                <w:sz w:val="22"/>
                <w:szCs w:val="22"/>
              </w:rPr>
              <w:t xml:space="preserve"> ООО «Сургутские городские электрические сети». Продукты сгорания от котлов №№4, 5 через газоходы котлов отводятся в дымовую трубу №2, высотой Н=90 метров</w:t>
            </w:r>
          </w:p>
        </w:tc>
      </w:tr>
      <w:tr w:rsidR="00B25116" w:rsidRPr="009F03B7" w:rsidTr="003C0F95">
        <w:trPr>
          <w:trHeight w:val="536"/>
        </w:trPr>
        <w:tc>
          <w:tcPr>
            <w:tcW w:w="764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C14F60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C14F60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аботы</w:t>
            </w:r>
            <w:r w:rsidR="00203BAF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4E60D7" w:rsidRPr="00881B56" w:rsidRDefault="00A67A3C" w:rsidP="00F76954">
            <w:pPr>
              <w:ind w:right="1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</w:t>
            </w:r>
            <w:r w:rsidR="00061104">
              <w:rPr>
                <w:bCs/>
                <w:sz w:val="22"/>
                <w:szCs w:val="22"/>
              </w:rPr>
              <w:t xml:space="preserve"> кирпичных </w:t>
            </w:r>
            <w:r>
              <w:rPr>
                <w:bCs/>
                <w:sz w:val="22"/>
                <w:szCs w:val="22"/>
              </w:rPr>
              <w:t xml:space="preserve"> газоходов водогрейных котлов №4,5 </w:t>
            </w:r>
            <w:r>
              <w:rPr>
                <w:color w:val="000000"/>
                <w:sz w:val="22"/>
                <w:szCs w:val="22"/>
              </w:rPr>
              <w:t xml:space="preserve">пиковой котельной </w:t>
            </w:r>
            <w:r w:rsidR="00F769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="00F14C0B">
              <w:rPr>
                <w:sz w:val="22"/>
                <w:szCs w:val="22"/>
              </w:rPr>
              <w:t>проектной документацией «Реконструкция газохо</w:t>
            </w:r>
            <w:r w:rsidR="00061104">
              <w:rPr>
                <w:sz w:val="22"/>
                <w:szCs w:val="22"/>
              </w:rPr>
              <w:t>дов котла №4,5 на дымовую железо</w:t>
            </w:r>
            <w:r w:rsidR="00F14C0B">
              <w:rPr>
                <w:sz w:val="22"/>
                <w:szCs w:val="22"/>
              </w:rPr>
              <w:t>бетонную трубу №2 на пиковой котельной №13 ООО «СГЭС»</w:t>
            </w:r>
          </w:p>
        </w:tc>
      </w:tr>
      <w:tr w:rsidR="00A67A3C" w:rsidRPr="009F03B7" w:rsidTr="003C0F95">
        <w:trPr>
          <w:trHeight w:val="536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67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закупки (конечный результат)</w:t>
            </w:r>
          </w:p>
        </w:tc>
        <w:tc>
          <w:tcPr>
            <w:tcW w:w="10496" w:type="dxa"/>
            <w:vAlign w:val="center"/>
          </w:tcPr>
          <w:p w:rsidR="00A67A3C" w:rsidRDefault="00A67A3C" w:rsidP="002D7E7F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надежно</w:t>
            </w:r>
            <w:r w:rsidR="002D7E7F">
              <w:rPr>
                <w:sz w:val="22"/>
                <w:szCs w:val="22"/>
              </w:rPr>
              <w:t>й работы газоходов котлов №№4, 5 на дымовую трубу №2.</w:t>
            </w:r>
          </w:p>
        </w:tc>
      </w:tr>
      <w:tr w:rsidR="00A67A3C" w:rsidRPr="009F03B7" w:rsidTr="003C0F95">
        <w:trPr>
          <w:trHeight w:val="650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 </w:t>
            </w:r>
          </w:p>
        </w:tc>
        <w:tc>
          <w:tcPr>
            <w:tcW w:w="10496" w:type="dxa"/>
          </w:tcPr>
          <w:p w:rsidR="00A67A3C" w:rsidRPr="009F03B7" w:rsidRDefault="00A67A3C" w:rsidP="00C14F60">
            <w:pPr>
              <w:ind w:right="128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Согласно</w:t>
            </w:r>
            <w:r w:rsidR="008627EA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  <w:r w:rsidR="008627EA">
              <w:rPr>
                <w:sz w:val="22"/>
                <w:szCs w:val="22"/>
              </w:rPr>
              <w:t xml:space="preserve">16434-СМ </w:t>
            </w:r>
            <w:r w:rsidR="00F14C0B">
              <w:rPr>
                <w:sz w:val="22"/>
                <w:szCs w:val="22"/>
              </w:rPr>
              <w:t>«Реконструкция газохо</w:t>
            </w:r>
            <w:r w:rsidR="008627EA">
              <w:rPr>
                <w:sz w:val="22"/>
                <w:szCs w:val="22"/>
              </w:rPr>
              <w:t>дов котла №4,5 на дымовую железо</w:t>
            </w:r>
            <w:r w:rsidR="00F14C0B">
              <w:rPr>
                <w:sz w:val="22"/>
                <w:szCs w:val="22"/>
              </w:rPr>
              <w:t xml:space="preserve">бетонную трубу №2 на пиковой котельной №13 ООО «СГЭС». </w:t>
            </w:r>
          </w:p>
        </w:tc>
      </w:tr>
      <w:tr w:rsidR="00A67A3C" w:rsidRPr="009F03B7" w:rsidTr="003C0F95">
        <w:trPr>
          <w:trHeight w:val="878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Работ – начало, окончание, условия изменения сроков проведения Работ </w:t>
            </w:r>
          </w:p>
        </w:tc>
        <w:tc>
          <w:tcPr>
            <w:tcW w:w="10496" w:type="dxa"/>
            <w:vAlign w:val="center"/>
          </w:tcPr>
          <w:p w:rsidR="003C0F95" w:rsidRDefault="00A67A3C" w:rsidP="003C0F95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</w:t>
            </w:r>
            <w:r w:rsidR="00E85E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C0F9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85E96">
              <w:rPr>
                <w:sz w:val="22"/>
                <w:szCs w:val="22"/>
              </w:rPr>
              <w:t>с момента заключения договора</w:t>
            </w:r>
            <w:r w:rsidR="003C0F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</w:t>
            </w:r>
          </w:p>
          <w:p w:rsidR="00A67A3C" w:rsidRPr="009F03B7" w:rsidRDefault="00A67A3C" w:rsidP="003C0F9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работ</w:t>
            </w:r>
            <w:r w:rsidR="00E85E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76954">
              <w:rPr>
                <w:sz w:val="22"/>
                <w:szCs w:val="22"/>
              </w:rPr>
              <w:t xml:space="preserve">   15.10</w:t>
            </w:r>
            <w:r w:rsidR="008645E9">
              <w:rPr>
                <w:sz w:val="22"/>
                <w:szCs w:val="22"/>
              </w:rPr>
              <w:t>.2015</w:t>
            </w:r>
            <w:r w:rsidR="003C0F95">
              <w:rPr>
                <w:sz w:val="22"/>
                <w:szCs w:val="22"/>
              </w:rPr>
              <w:t xml:space="preserve"> </w:t>
            </w:r>
            <w:r w:rsidR="008645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67A3C" w:rsidRPr="009F03B7" w:rsidTr="003C0F95">
        <w:trPr>
          <w:trHeight w:val="5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A3C" w:rsidRPr="009F03B7" w:rsidRDefault="00A67A3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A3C" w:rsidRPr="009F03B7" w:rsidRDefault="00A67A3C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3C" w:rsidRPr="009F03B7" w:rsidRDefault="00A67A3C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A67A3C" w:rsidRPr="009F03B7" w:rsidTr="003C0F95">
        <w:trPr>
          <w:trHeight w:val="1072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A67A3C" w:rsidRPr="009F03B7" w:rsidRDefault="00A67A3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A67A3C" w:rsidRPr="009F03B7" w:rsidRDefault="00A67A3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A67A3C" w:rsidRDefault="00A67A3C" w:rsidP="00881B56">
            <w:pPr>
              <w:rPr>
                <w:sz w:val="22"/>
                <w:szCs w:val="22"/>
              </w:rPr>
            </w:pPr>
            <w:r w:rsidRPr="009020E5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должен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иметь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конкурсной</w:t>
            </w:r>
            <w:r>
              <w:rPr>
                <w:sz w:val="22"/>
                <w:szCs w:val="22"/>
              </w:rPr>
              <w:t xml:space="preserve">  документации:  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-Свидетельство  о  допуске  к  работам, выданное  саморегулирующей  организацией (СРО),  </w:t>
            </w:r>
            <w:r w:rsidRPr="004A4B14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4A4B14">
              <w:rPr>
                <w:sz w:val="22"/>
                <w:szCs w:val="22"/>
              </w:rPr>
              <w:t xml:space="preserve">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закона  </w:t>
            </w:r>
            <w:r>
              <w:rPr>
                <w:sz w:val="22"/>
                <w:szCs w:val="22"/>
              </w:rPr>
              <w:t>Российской  Федерации  от  22 ию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ля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 w:rsidRPr="004A4B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№148-ФЗ  «О  внесении  изменений  в  Градостроительный кодекс  Российской  Федерации  и  отдельные  законодательные  акты  РФ».  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видетельство 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об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технологии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сварки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(согласно РД03-615-03);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-С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видетельство  об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сварочн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ого  оборудования  (согласно РД 03-614-03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);</w:t>
            </w:r>
          </w:p>
          <w:p w:rsidR="00A67A3C" w:rsidRPr="00AC6C67" w:rsidRDefault="00A67A3C" w:rsidP="00881B56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-С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видетельство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об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персонала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на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проведение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работ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оборудовании, подведомственном</w:t>
            </w:r>
          </w:p>
          <w:p w:rsidR="00A67A3C" w:rsidRPr="001E3D7A" w:rsidRDefault="00A67A3C" w:rsidP="00881B56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Ростехнадзору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(согласно ПБ-03-273-99, РД 03-495-02, РД 34.17.310-96);</w:t>
            </w:r>
          </w:p>
        </w:tc>
      </w:tr>
      <w:tr w:rsidR="003C0F95" w:rsidRPr="009F03B7" w:rsidTr="003C0F95">
        <w:trPr>
          <w:trHeight w:val="71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F76954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47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523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F76954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43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изыскательских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>Не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 xml:space="preserve">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3C0F95" w:rsidRPr="009F03B7" w:rsidTr="003C0F95">
        <w:trPr>
          <w:trHeight w:val="1135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29333A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</w:t>
            </w:r>
            <w:r w:rsidRPr="009F03B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закупочной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документации</w:t>
            </w:r>
            <w:r>
              <w:rPr>
                <w:sz w:val="22"/>
                <w:szCs w:val="22"/>
              </w:rPr>
              <w:t xml:space="preserve">  </w:t>
            </w:r>
            <w:r w:rsidRPr="009F03B7">
              <w:rPr>
                <w:sz w:val="22"/>
                <w:szCs w:val="22"/>
              </w:rPr>
              <w:t xml:space="preserve">обязан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 xml:space="preserve"> </w:t>
            </w:r>
            <w:r w:rsidR="0029333A">
              <w:rPr>
                <w:sz w:val="22"/>
                <w:szCs w:val="22"/>
              </w:rPr>
              <w:t>ЛСР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каждому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виду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Работ</w:t>
            </w:r>
            <w:r w:rsidR="0029333A">
              <w:rPr>
                <w:sz w:val="22"/>
                <w:szCs w:val="22"/>
              </w:rPr>
              <w:t xml:space="preserve"> в базе 2001г. с применением индекса перевода в текущи</w:t>
            </w:r>
            <w:r w:rsidR="00C14F60">
              <w:rPr>
                <w:sz w:val="22"/>
                <w:szCs w:val="22"/>
              </w:rPr>
              <w:t>е цены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0F95" w:rsidRPr="009F03B7" w:rsidTr="003C0F95">
        <w:trPr>
          <w:trHeight w:val="65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3C0F95" w:rsidRPr="009F03B7" w:rsidTr="003C0F95">
        <w:trPr>
          <w:trHeight w:val="532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C0F95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подготовительных</w:t>
            </w:r>
            <w:r>
              <w:rPr>
                <w:sz w:val="22"/>
                <w:szCs w:val="22"/>
              </w:rPr>
              <w:t xml:space="preserve"> 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3C0F95" w:rsidP="0029333A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</w:t>
            </w:r>
            <w:r w:rsidRPr="0080185A">
              <w:rPr>
                <w:sz w:val="22"/>
                <w:szCs w:val="22"/>
              </w:rPr>
              <w:t xml:space="preserve">должен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разработать, согласовать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Заказчиком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t xml:space="preserve"> организационно-технических  </w:t>
            </w:r>
            <w:r w:rsidRPr="0080185A">
              <w:rPr>
                <w:sz w:val="22"/>
                <w:szCs w:val="22"/>
              </w:rPr>
              <w:t xml:space="preserve">подготовительных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соответствии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5E0D9F">
              <w:rPr>
                <w:sz w:val="22"/>
                <w:szCs w:val="22"/>
              </w:rPr>
              <w:t>п.2.7</w:t>
            </w:r>
            <w:r w:rsidRPr="0080185A">
              <w:rPr>
                <w:sz w:val="22"/>
                <w:szCs w:val="22"/>
              </w:rPr>
              <w:t xml:space="preserve"> СО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34.04.181-2003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«Правила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технического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обслуживания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ремонта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оборудования, зданий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сооружений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электростанций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сетей». </w:t>
            </w:r>
          </w:p>
        </w:tc>
      </w:tr>
      <w:tr w:rsidR="003C0F95" w:rsidRPr="009F03B7" w:rsidTr="003C0F95">
        <w:trPr>
          <w:trHeight w:val="101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C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3C0F95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3C0F95" w:rsidRPr="009F03B7" w:rsidTr="003C0F95">
        <w:trPr>
          <w:trHeight w:val="1009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856989" w:rsidRDefault="003C0F95" w:rsidP="00F76954">
            <w:pPr>
              <w:rPr>
                <w:rFonts w:eastAsia="Arial Unicode MS"/>
                <w:sz w:val="22"/>
                <w:szCs w:val="22"/>
              </w:rPr>
            </w:pPr>
            <w:r w:rsidRPr="00856989">
              <w:rPr>
                <w:sz w:val="22"/>
                <w:szCs w:val="22"/>
              </w:rPr>
              <w:t xml:space="preserve">Условия окончания работ 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56989" w:rsidRDefault="003C0F95" w:rsidP="002933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выполненных работ Подрядчиком определяется актом технической готовности </w:t>
            </w:r>
            <w:r w:rsidR="0099330C">
              <w:rPr>
                <w:sz w:val="22"/>
                <w:szCs w:val="22"/>
              </w:rPr>
              <w:t>газоходов после проведенной реконструкции</w:t>
            </w:r>
            <w:r w:rsidR="0029333A">
              <w:rPr>
                <w:sz w:val="22"/>
                <w:szCs w:val="22"/>
              </w:rPr>
              <w:t xml:space="preserve"> и предоставления исполнительной документации.</w:t>
            </w:r>
            <w:r>
              <w:rPr>
                <w:sz w:val="22"/>
                <w:szCs w:val="22"/>
              </w:rPr>
              <w:t xml:space="preserve"> </w:t>
            </w:r>
            <w:r w:rsidRPr="00856989">
              <w:rPr>
                <w:sz w:val="22"/>
                <w:szCs w:val="22"/>
              </w:rPr>
              <w:t xml:space="preserve">Заказчик осуществляет приемку </w:t>
            </w:r>
            <w:r>
              <w:rPr>
                <w:sz w:val="22"/>
                <w:szCs w:val="22"/>
              </w:rPr>
              <w:t xml:space="preserve">вновь смонтированного (реконструированного) </w:t>
            </w:r>
            <w:r w:rsidRPr="00856989">
              <w:rPr>
                <w:sz w:val="22"/>
                <w:szCs w:val="22"/>
              </w:rPr>
              <w:t xml:space="preserve">оборудования </w:t>
            </w:r>
            <w:r>
              <w:rPr>
                <w:sz w:val="22"/>
                <w:szCs w:val="22"/>
              </w:rPr>
              <w:t>после проведения приемо-сдаточных испытаний</w:t>
            </w:r>
            <w:r w:rsidR="0099330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Назначенная Заказчиком рабочая комиссия принимает от Подрядчика </w:t>
            </w:r>
            <w:r w:rsidR="0099330C">
              <w:rPr>
                <w:sz w:val="22"/>
                <w:szCs w:val="22"/>
              </w:rPr>
              <w:t xml:space="preserve">реконструированные газоходы с </w:t>
            </w:r>
            <w:r>
              <w:rPr>
                <w:sz w:val="22"/>
                <w:szCs w:val="22"/>
              </w:rPr>
              <w:t>оформлением</w:t>
            </w:r>
            <w:r w:rsidR="00293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акта</w:t>
            </w:r>
            <w:r w:rsidR="0029333A">
              <w:rPr>
                <w:sz w:val="22"/>
                <w:szCs w:val="22"/>
              </w:rPr>
              <w:t xml:space="preserve"> ввода в эксплуатацию.</w:t>
            </w:r>
            <w:r>
              <w:rPr>
                <w:sz w:val="22"/>
                <w:szCs w:val="22"/>
              </w:rPr>
              <w:t xml:space="preserve"> </w:t>
            </w:r>
            <w:r w:rsidR="0029333A">
              <w:rPr>
                <w:sz w:val="22"/>
                <w:szCs w:val="22"/>
              </w:rPr>
              <w:t>При выявлении дефектов</w:t>
            </w:r>
            <w:r w:rsidRPr="00856989">
              <w:rPr>
                <w:sz w:val="22"/>
                <w:szCs w:val="22"/>
              </w:rPr>
              <w:t xml:space="preserve">, Подрядчик должен за свой счет и в согласованные с Заказчиком сроки устранить замечания. </w:t>
            </w:r>
          </w:p>
        </w:tc>
      </w:tr>
      <w:tr w:rsidR="003C0F95" w:rsidRPr="009F03B7" w:rsidTr="003C0F95">
        <w:trPr>
          <w:trHeight w:val="81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29333A" w:rsidP="00F769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3C0F95" w:rsidRPr="009F03B7" w:rsidTr="003C0F95">
        <w:trPr>
          <w:trHeight w:val="870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Характеристика подрядной организации – по составу персонала (количественно-качественн</w:t>
            </w:r>
            <w:r>
              <w:rPr>
                <w:sz w:val="22"/>
                <w:szCs w:val="22"/>
              </w:rPr>
              <w:t>ый</w:t>
            </w:r>
            <w:r w:rsidRPr="009F03B7">
              <w:rPr>
                <w:sz w:val="22"/>
                <w:szCs w:val="22"/>
              </w:rPr>
              <w:t>), по техвооруженности, по опыту работы в сфере оказываемых услуг.</w:t>
            </w:r>
          </w:p>
        </w:tc>
        <w:tc>
          <w:tcPr>
            <w:tcW w:w="10496" w:type="dxa"/>
            <w:vAlign w:val="center"/>
          </w:tcPr>
          <w:p w:rsidR="003C0F95" w:rsidRPr="009F03B7" w:rsidRDefault="003C0F95" w:rsidP="002933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выполнения данных работ </w:t>
            </w:r>
            <w:r w:rsidRPr="00941FC7">
              <w:rPr>
                <w:sz w:val="22"/>
                <w:szCs w:val="22"/>
              </w:rPr>
              <w:t xml:space="preserve">Подрядчик  должен  иметь  опыт  работы  в  течение  последних  5  </w:t>
            </w:r>
            <w:r>
              <w:rPr>
                <w:sz w:val="22"/>
                <w:szCs w:val="22"/>
              </w:rPr>
              <w:t xml:space="preserve">(пяти) </w:t>
            </w:r>
            <w:r w:rsidRPr="00941FC7">
              <w:rPr>
                <w:sz w:val="22"/>
                <w:szCs w:val="22"/>
              </w:rPr>
              <w:t xml:space="preserve">лет.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</w:tc>
      </w:tr>
      <w:tr w:rsidR="003C0F95" w:rsidRPr="009F03B7" w:rsidTr="003C0F95">
        <w:trPr>
          <w:trHeight w:val="1441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3C0F95" w:rsidRPr="009F03B7" w:rsidRDefault="003C0F95" w:rsidP="00994E3E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41FC7">
              <w:rPr>
                <w:sz w:val="22"/>
                <w:szCs w:val="22"/>
              </w:rPr>
              <w:t xml:space="preserve">о  начала  </w:t>
            </w:r>
            <w:r>
              <w:rPr>
                <w:sz w:val="22"/>
                <w:szCs w:val="22"/>
              </w:rPr>
              <w:t xml:space="preserve">выполнения </w:t>
            </w:r>
            <w:r w:rsidRPr="00941FC7">
              <w:rPr>
                <w:sz w:val="22"/>
                <w:szCs w:val="22"/>
              </w:rPr>
              <w:t>Работ  Подрядчик обеспечивает  поставку  материально-технических  ресурсов  (далее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 xml:space="preserve">МТР)  в  соответствии  с </w:t>
            </w:r>
            <w:r>
              <w:rPr>
                <w:sz w:val="22"/>
                <w:szCs w:val="22"/>
              </w:rPr>
              <w:t xml:space="preserve">проектом 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16434-С</w:t>
            </w:r>
            <w:r w:rsidR="0029333A">
              <w:rPr>
                <w:sz w:val="22"/>
                <w:szCs w:val="22"/>
              </w:rPr>
              <w:t>М «Реконструкция газоходов котлов</w:t>
            </w:r>
            <w:r>
              <w:rPr>
                <w:sz w:val="22"/>
                <w:szCs w:val="22"/>
              </w:rPr>
              <w:t xml:space="preserve"> №4,5 н</w:t>
            </w:r>
            <w:r w:rsidR="0029333A">
              <w:rPr>
                <w:sz w:val="22"/>
                <w:szCs w:val="22"/>
              </w:rPr>
              <w:t xml:space="preserve">а дымовую железобетонную </w:t>
            </w:r>
            <w:r>
              <w:rPr>
                <w:sz w:val="22"/>
                <w:szCs w:val="22"/>
              </w:rPr>
              <w:t xml:space="preserve"> трубу №2 на пиковой котельной №13 ООО «СГЭС», согласно Ведомости объема работ и Перечня материалов</w:t>
            </w:r>
            <w:r w:rsidR="0029333A">
              <w:rPr>
                <w:sz w:val="22"/>
                <w:szCs w:val="22"/>
              </w:rPr>
              <w:t xml:space="preserve"> (приложение №1, №2)</w:t>
            </w:r>
          </w:p>
        </w:tc>
      </w:tr>
      <w:tr w:rsidR="003C0F95" w:rsidRPr="009F03B7" w:rsidTr="003C0F95">
        <w:trPr>
          <w:trHeight w:val="1491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3C0F95" w:rsidRPr="009F03B7" w:rsidRDefault="003C0F95" w:rsidP="003C0F9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>Подрядчик  по  требованию  Заказчика  обязан  предоставить документы, удостоверяющие  качество  применяемых  материалов  и  комплектующих  изделий (паспорта, сертификаты) отвечающие  требованиям   нормативно-технической  (конструкторской, технологической)  документации  с  учетом  их  транспортировки, хранения, упаковки, а  также  наличие  маркировки (ГОСТ 12969).</w:t>
            </w:r>
          </w:p>
        </w:tc>
      </w:tr>
      <w:tr w:rsidR="003C0F95" w:rsidRPr="009F03B7" w:rsidTr="003C0F95">
        <w:trPr>
          <w:trHeight w:val="1257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3C0F95" w:rsidRPr="009F03B7" w:rsidTr="003C0F95">
        <w:trPr>
          <w:trHeight w:val="486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3C0F95" w:rsidRPr="009F03B7" w:rsidTr="003C0F95">
        <w:trPr>
          <w:trHeight w:val="1197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6C7519">
            <w:pPr>
              <w:ind w:right="128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гарантии на выполненный результат Работ  устанавливается  </w:t>
            </w:r>
            <w:r w:rsidR="0029333A">
              <w:rPr>
                <w:sz w:val="22"/>
                <w:szCs w:val="22"/>
              </w:rPr>
              <w:t>тридцать шесть месяцев</w:t>
            </w:r>
            <w:r w:rsidRPr="009F03B7">
              <w:rPr>
                <w:sz w:val="22"/>
                <w:szCs w:val="22"/>
              </w:rPr>
              <w:t xml:space="preserve"> со дня подписания Акта приемки выполненных  Работ. Гарантия качества распространяется на все составляющие результаты Работ. Гарантийный срок продлевается на период устранения недостатков Подрядчиком, в случае обнаружения таковых Заказчиком.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p w:rsidR="003C0F95" w:rsidRDefault="003C0F95" w:rsidP="00881B56">
      <w:pPr>
        <w:rPr>
          <w:rFonts w:ascii="Arial" w:hAnsi="Arial" w:cs="Arial"/>
          <w:sz w:val="22"/>
        </w:rPr>
      </w:pPr>
    </w:p>
    <w:p w:rsidR="003C0F95" w:rsidRDefault="003C0F95" w:rsidP="00881B56">
      <w:pPr>
        <w:rPr>
          <w:rFonts w:ascii="Arial" w:hAnsi="Arial" w:cs="Arial"/>
          <w:sz w:val="22"/>
        </w:rPr>
      </w:pPr>
    </w:p>
    <w:p w:rsidR="003C0F95" w:rsidRDefault="003C0F95" w:rsidP="00881B56">
      <w:pPr>
        <w:rPr>
          <w:rFonts w:ascii="Arial" w:hAnsi="Arial" w:cs="Arial"/>
          <w:sz w:val="22"/>
        </w:rPr>
      </w:pPr>
    </w:p>
    <w:p w:rsidR="003C0F95" w:rsidRDefault="003C0F95" w:rsidP="00881B56">
      <w:pPr>
        <w:rPr>
          <w:rFonts w:ascii="Arial" w:hAnsi="Arial" w:cs="Arial"/>
          <w:sz w:val="22"/>
        </w:rPr>
      </w:pPr>
    </w:p>
    <w:p w:rsidR="0072423B" w:rsidRDefault="0072423B" w:rsidP="00ED6989">
      <w:pPr>
        <w:pStyle w:val="20"/>
        <w:spacing w:after="0" w:line="240" w:lineRule="auto"/>
        <w:ind w:firstLine="709"/>
      </w:pPr>
    </w:p>
    <w:p w:rsidR="00441059" w:rsidRDefault="00441059" w:rsidP="00ED6989">
      <w:pPr>
        <w:pStyle w:val="20"/>
        <w:spacing w:after="0" w:line="240" w:lineRule="auto"/>
        <w:ind w:firstLine="709"/>
      </w:pPr>
    </w:p>
    <w:p w:rsidR="00441059" w:rsidRDefault="00441059" w:rsidP="003C0F95">
      <w:pPr>
        <w:pStyle w:val="20"/>
        <w:spacing w:after="0" w:line="360" w:lineRule="auto"/>
        <w:ind w:firstLine="709"/>
      </w:pPr>
      <w:r>
        <w:t xml:space="preserve">                  Начальник ЭР№ 2 цеха № 7 по теплоснабжению                                                      </w:t>
      </w:r>
      <w:r w:rsidR="003C0F95">
        <w:t xml:space="preserve"> </w:t>
      </w:r>
      <w:r>
        <w:t>Плотникова С.Г.</w:t>
      </w:r>
    </w:p>
    <w:p w:rsidR="00441059" w:rsidRDefault="00441059" w:rsidP="003C0F95">
      <w:pPr>
        <w:pStyle w:val="20"/>
        <w:spacing w:after="0" w:line="360" w:lineRule="auto"/>
        <w:ind w:firstLine="709"/>
      </w:pPr>
    </w:p>
    <w:p w:rsidR="00441059" w:rsidRDefault="00441059" w:rsidP="003C0F95">
      <w:pPr>
        <w:pStyle w:val="20"/>
        <w:spacing w:after="0" w:line="360" w:lineRule="auto"/>
        <w:ind w:firstLine="709"/>
      </w:pPr>
      <w:r>
        <w:t xml:space="preserve">                  Начальник цеха № 7 по теплоснабжению                                                                    </w:t>
      </w:r>
      <w:r w:rsidR="000140E2">
        <w:t>Мостицкий А.В.</w:t>
      </w:r>
    </w:p>
    <w:p w:rsidR="00441059" w:rsidRDefault="00441059" w:rsidP="003C0F95">
      <w:pPr>
        <w:pStyle w:val="20"/>
        <w:spacing w:after="0" w:line="360" w:lineRule="auto"/>
        <w:ind w:firstLine="709"/>
      </w:pPr>
    </w:p>
    <w:sectPr w:rsidR="00441059" w:rsidSect="00180969">
      <w:footerReference w:type="default" r:id="rId7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4" w:rsidRDefault="00061104">
      <w:r>
        <w:separator/>
      </w:r>
    </w:p>
  </w:endnote>
  <w:endnote w:type="continuationSeparator" w:id="0">
    <w:p w:rsidR="00061104" w:rsidRDefault="000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4" w:rsidRDefault="00061104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E85E96">
      <w:rPr>
        <w:rStyle w:val="a4"/>
        <w:noProof/>
        <w:sz w:val="16"/>
      </w:rPr>
      <w:t>3</w:t>
    </w:r>
    <w:r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>
      <w:rPr>
        <w:rStyle w:val="a4"/>
        <w:sz w:val="16"/>
      </w:rPr>
      <w:fldChar w:fldCharType="separate"/>
    </w:r>
    <w:r w:rsidR="00E85E96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4" w:rsidRDefault="00061104">
      <w:r>
        <w:separator/>
      </w:r>
    </w:p>
  </w:footnote>
  <w:footnote w:type="continuationSeparator" w:id="0">
    <w:p w:rsidR="00061104" w:rsidRDefault="0006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45E38C4"/>
    <w:multiLevelType w:val="hybridMultilevel"/>
    <w:tmpl w:val="03D2FD5A"/>
    <w:lvl w:ilvl="0" w:tplc="44B09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6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30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3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29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E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82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AC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2D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3485A"/>
    <w:multiLevelType w:val="hybridMultilevel"/>
    <w:tmpl w:val="B58C37EE"/>
    <w:lvl w:ilvl="0" w:tplc="93385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FCA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6B0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5C16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4628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A220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542C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6079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DA8A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1"/>
  </w:num>
  <w:num w:numId="6">
    <w:abstractNumId w:val="14"/>
  </w:num>
  <w:num w:numId="7">
    <w:abstractNumId w:val="15"/>
  </w:num>
  <w:num w:numId="8">
    <w:abstractNumId w:val="21"/>
  </w:num>
  <w:num w:numId="9">
    <w:abstractNumId w:val="6"/>
  </w:num>
  <w:num w:numId="10">
    <w:abstractNumId w:val="2"/>
  </w:num>
  <w:num w:numId="11">
    <w:abstractNumId w:val="18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24"/>
  </w:num>
  <w:num w:numId="18">
    <w:abstractNumId w:val="7"/>
  </w:num>
  <w:num w:numId="19">
    <w:abstractNumId w:val="13"/>
  </w:num>
  <w:num w:numId="20">
    <w:abstractNumId w:val="19"/>
  </w:num>
  <w:num w:numId="21">
    <w:abstractNumId w:val="4"/>
  </w:num>
  <w:num w:numId="22">
    <w:abstractNumId w:val="9"/>
  </w:num>
  <w:num w:numId="23">
    <w:abstractNumId w:val="8"/>
  </w:num>
  <w:num w:numId="24">
    <w:abstractNumId w:val="17"/>
  </w:num>
  <w:num w:numId="25">
    <w:abstractNumId w:val="10"/>
  </w:num>
  <w:num w:numId="26">
    <w:abstractNumId w:val="0"/>
  </w:num>
  <w:num w:numId="27">
    <w:abstractNumId w:val="26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5"/>
    <w:rsid w:val="00005955"/>
    <w:rsid w:val="00010702"/>
    <w:rsid w:val="00010D6C"/>
    <w:rsid w:val="0001237D"/>
    <w:rsid w:val="00013BAA"/>
    <w:rsid w:val="000140E2"/>
    <w:rsid w:val="00016466"/>
    <w:rsid w:val="00022BEF"/>
    <w:rsid w:val="00033975"/>
    <w:rsid w:val="00037B0A"/>
    <w:rsid w:val="00060210"/>
    <w:rsid w:val="00061104"/>
    <w:rsid w:val="00062365"/>
    <w:rsid w:val="00065D00"/>
    <w:rsid w:val="00072ACE"/>
    <w:rsid w:val="0007487E"/>
    <w:rsid w:val="00076FB5"/>
    <w:rsid w:val="0009310A"/>
    <w:rsid w:val="0009375A"/>
    <w:rsid w:val="00095E41"/>
    <w:rsid w:val="000A4B88"/>
    <w:rsid w:val="000A5278"/>
    <w:rsid w:val="000B3200"/>
    <w:rsid w:val="000B342B"/>
    <w:rsid w:val="000B5625"/>
    <w:rsid w:val="000B7223"/>
    <w:rsid w:val="000B7E07"/>
    <w:rsid w:val="000C131B"/>
    <w:rsid w:val="000C6283"/>
    <w:rsid w:val="000D25DF"/>
    <w:rsid w:val="000D2D18"/>
    <w:rsid w:val="000D6D71"/>
    <w:rsid w:val="000F1500"/>
    <w:rsid w:val="00113CC2"/>
    <w:rsid w:val="00127FAE"/>
    <w:rsid w:val="00132722"/>
    <w:rsid w:val="001361DD"/>
    <w:rsid w:val="001377EE"/>
    <w:rsid w:val="00142FB9"/>
    <w:rsid w:val="001451EE"/>
    <w:rsid w:val="001644DC"/>
    <w:rsid w:val="00167018"/>
    <w:rsid w:val="00167B8A"/>
    <w:rsid w:val="0017359D"/>
    <w:rsid w:val="00175E5D"/>
    <w:rsid w:val="00176A49"/>
    <w:rsid w:val="00180969"/>
    <w:rsid w:val="00181138"/>
    <w:rsid w:val="001B1ED1"/>
    <w:rsid w:val="001B434D"/>
    <w:rsid w:val="001C2A50"/>
    <w:rsid w:val="001C7199"/>
    <w:rsid w:val="001D120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569F"/>
    <w:rsid w:val="00214433"/>
    <w:rsid w:val="00215AE6"/>
    <w:rsid w:val="00216849"/>
    <w:rsid w:val="00221C05"/>
    <w:rsid w:val="00227681"/>
    <w:rsid w:val="0024240F"/>
    <w:rsid w:val="002460D3"/>
    <w:rsid w:val="00247125"/>
    <w:rsid w:val="00247F29"/>
    <w:rsid w:val="002548E5"/>
    <w:rsid w:val="00255A50"/>
    <w:rsid w:val="00255B03"/>
    <w:rsid w:val="0025754D"/>
    <w:rsid w:val="00260394"/>
    <w:rsid w:val="00260BEA"/>
    <w:rsid w:val="00262887"/>
    <w:rsid w:val="00264028"/>
    <w:rsid w:val="002644B7"/>
    <w:rsid w:val="002701BA"/>
    <w:rsid w:val="0029333A"/>
    <w:rsid w:val="00293FF5"/>
    <w:rsid w:val="002C2B29"/>
    <w:rsid w:val="002C57E7"/>
    <w:rsid w:val="002D2E6C"/>
    <w:rsid w:val="002D30F5"/>
    <w:rsid w:val="002D7E7F"/>
    <w:rsid w:val="002E2EE2"/>
    <w:rsid w:val="002F7086"/>
    <w:rsid w:val="003028E4"/>
    <w:rsid w:val="00310DDD"/>
    <w:rsid w:val="00313BFB"/>
    <w:rsid w:val="003175AF"/>
    <w:rsid w:val="0032490E"/>
    <w:rsid w:val="00327410"/>
    <w:rsid w:val="003323B9"/>
    <w:rsid w:val="00334676"/>
    <w:rsid w:val="00335366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C0F95"/>
    <w:rsid w:val="003D1F49"/>
    <w:rsid w:val="003D6ED0"/>
    <w:rsid w:val="00402752"/>
    <w:rsid w:val="00441059"/>
    <w:rsid w:val="00456B50"/>
    <w:rsid w:val="0047017C"/>
    <w:rsid w:val="00471DFA"/>
    <w:rsid w:val="0047274D"/>
    <w:rsid w:val="00477F98"/>
    <w:rsid w:val="004808D9"/>
    <w:rsid w:val="004847E1"/>
    <w:rsid w:val="00491BEC"/>
    <w:rsid w:val="00492641"/>
    <w:rsid w:val="004A0550"/>
    <w:rsid w:val="004A2136"/>
    <w:rsid w:val="004A30A5"/>
    <w:rsid w:val="004A4FA6"/>
    <w:rsid w:val="004B2996"/>
    <w:rsid w:val="004B3766"/>
    <w:rsid w:val="004B67B2"/>
    <w:rsid w:val="004D6AB9"/>
    <w:rsid w:val="004E53B4"/>
    <w:rsid w:val="004E60D7"/>
    <w:rsid w:val="004F3417"/>
    <w:rsid w:val="00502597"/>
    <w:rsid w:val="00514F07"/>
    <w:rsid w:val="00517CB8"/>
    <w:rsid w:val="00535350"/>
    <w:rsid w:val="00543B93"/>
    <w:rsid w:val="00543BF9"/>
    <w:rsid w:val="005460C8"/>
    <w:rsid w:val="0054691A"/>
    <w:rsid w:val="00551492"/>
    <w:rsid w:val="00553FB7"/>
    <w:rsid w:val="0056223B"/>
    <w:rsid w:val="00572D9B"/>
    <w:rsid w:val="00575107"/>
    <w:rsid w:val="00580AEF"/>
    <w:rsid w:val="00584A13"/>
    <w:rsid w:val="005922FC"/>
    <w:rsid w:val="0059294E"/>
    <w:rsid w:val="00593E05"/>
    <w:rsid w:val="005B28C5"/>
    <w:rsid w:val="005B4295"/>
    <w:rsid w:val="005B47E4"/>
    <w:rsid w:val="005D037E"/>
    <w:rsid w:val="005D1793"/>
    <w:rsid w:val="005D3D28"/>
    <w:rsid w:val="005E0D9F"/>
    <w:rsid w:val="005E5B1D"/>
    <w:rsid w:val="005F71EA"/>
    <w:rsid w:val="006005E8"/>
    <w:rsid w:val="006021ED"/>
    <w:rsid w:val="00603A7E"/>
    <w:rsid w:val="006076FD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4F22"/>
    <w:rsid w:val="006360FA"/>
    <w:rsid w:val="0064596D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5BBE"/>
    <w:rsid w:val="006B73E6"/>
    <w:rsid w:val="006C4ADB"/>
    <w:rsid w:val="006C7519"/>
    <w:rsid w:val="006D0E84"/>
    <w:rsid w:val="006D6FDE"/>
    <w:rsid w:val="006E5289"/>
    <w:rsid w:val="006E762F"/>
    <w:rsid w:val="00716446"/>
    <w:rsid w:val="0072423B"/>
    <w:rsid w:val="007350A0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41AC"/>
    <w:rsid w:val="007A432A"/>
    <w:rsid w:val="007B024E"/>
    <w:rsid w:val="007B11FA"/>
    <w:rsid w:val="007B265F"/>
    <w:rsid w:val="007B2B25"/>
    <w:rsid w:val="007B405E"/>
    <w:rsid w:val="007D1038"/>
    <w:rsid w:val="007D1B3B"/>
    <w:rsid w:val="007D2106"/>
    <w:rsid w:val="007E1312"/>
    <w:rsid w:val="007E6433"/>
    <w:rsid w:val="007F7858"/>
    <w:rsid w:val="00804891"/>
    <w:rsid w:val="00813012"/>
    <w:rsid w:val="00813ACD"/>
    <w:rsid w:val="00813CA7"/>
    <w:rsid w:val="00814B0E"/>
    <w:rsid w:val="0081602C"/>
    <w:rsid w:val="0082120D"/>
    <w:rsid w:val="00831910"/>
    <w:rsid w:val="00832EAE"/>
    <w:rsid w:val="00836F5C"/>
    <w:rsid w:val="008502FE"/>
    <w:rsid w:val="0086058B"/>
    <w:rsid w:val="008627EA"/>
    <w:rsid w:val="008645E9"/>
    <w:rsid w:val="00872A5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6B73"/>
    <w:rsid w:val="008B3FFB"/>
    <w:rsid w:val="008C1E5E"/>
    <w:rsid w:val="008C1F40"/>
    <w:rsid w:val="008C6B36"/>
    <w:rsid w:val="008D2E71"/>
    <w:rsid w:val="008E39B1"/>
    <w:rsid w:val="008E4723"/>
    <w:rsid w:val="008E73C8"/>
    <w:rsid w:val="008F04EB"/>
    <w:rsid w:val="008F1B3E"/>
    <w:rsid w:val="008F1BA3"/>
    <w:rsid w:val="008F5193"/>
    <w:rsid w:val="009019DF"/>
    <w:rsid w:val="00902C61"/>
    <w:rsid w:val="009114AD"/>
    <w:rsid w:val="00925A04"/>
    <w:rsid w:val="00925AC5"/>
    <w:rsid w:val="00930101"/>
    <w:rsid w:val="00931901"/>
    <w:rsid w:val="00935BC8"/>
    <w:rsid w:val="009453EF"/>
    <w:rsid w:val="00967F82"/>
    <w:rsid w:val="00971536"/>
    <w:rsid w:val="009747CB"/>
    <w:rsid w:val="009751CC"/>
    <w:rsid w:val="00976652"/>
    <w:rsid w:val="009922A0"/>
    <w:rsid w:val="0099330C"/>
    <w:rsid w:val="00994E3E"/>
    <w:rsid w:val="00994F17"/>
    <w:rsid w:val="009955A1"/>
    <w:rsid w:val="0099757D"/>
    <w:rsid w:val="009A0D8F"/>
    <w:rsid w:val="009A3941"/>
    <w:rsid w:val="009A4E7C"/>
    <w:rsid w:val="009B5646"/>
    <w:rsid w:val="009B62F6"/>
    <w:rsid w:val="009B642C"/>
    <w:rsid w:val="009B6D01"/>
    <w:rsid w:val="009C0EC3"/>
    <w:rsid w:val="009C362F"/>
    <w:rsid w:val="009D2DD3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6D12"/>
    <w:rsid w:val="00A0150B"/>
    <w:rsid w:val="00A07303"/>
    <w:rsid w:val="00A11222"/>
    <w:rsid w:val="00A24553"/>
    <w:rsid w:val="00A27D3E"/>
    <w:rsid w:val="00A336FA"/>
    <w:rsid w:val="00A34699"/>
    <w:rsid w:val="00A45DC0"/>
    <w:rsid w:val="00A64488"/>
    <w:rsid w:val="00A67A3C"/>
    <w:rsid w:val="00A71ADF"/>
    <w:rsid w:val="00A7460E"/>
    <w:rsid w:val="00A82195"/>
    <w:rsid w:val="00A8394B"/>
    <w:rsid w:val="00A936D7"/>
    <w:rsid w:val="00A964D3"/>
    <w:rsid w:val="00AA25E8"/>
    <w:rsid w:val="00AB0E59"/>
    <w:rsid w:val="00AB411E"/>
    <w:rsid w:val="00AB413C"/>
    <w:rsid w:val="00AC0E66"/>
    <w:rsid w:val="00AC6C67"/>
    <w:rsid w:val="00AD3BFB"/>
    <w:rsid w:val="00AD4F04"/>
    <w:rsid w:val="00AE16AF"/>
    <w:rsid w:val="00AF20F8"/>
    <w:rsid w:val="00AF3099"/>
    <w:rsid w:val="00B115A4"/>
    <w:rsid w:val="00B13B4D"/>
    <w:rsid w:val="00B25116"/>
    <w:rsid w:val="00B26A70"/>
    <w:rsid w:val="00B509AF"/>
    <w:rsid w:val="00B51A86"/>
    <w:rsid w:val="00B566EA"/>
    <w:rsid w:val="00B56EAA"/>
    <w:rsid w:val="00B616D0"/>
    <w:rsid w:val="00B741D8"/>
    <w:rsid w:val="00B76522"/>
    <w:rsid w:val="00B8018C"/>
    <w:rsid w:val="00B80D8C"/>
    <w:rsid w:val="00B81399"/>
    <w:rsid w:val="00B9333A"/>
    <w:rsid w:val="00BA000C"/>
    <w:rsid w:val="00BA46BB"/>
    <w:rsid w:val="00BB5AA9"/>
    <w:rsid w:val="00BC1C20"/>
    <w:rsid w:val="00BD0259"/>
    <w:rsid w:val="00BD0956"/>
    <w:rsid w:val="00BD3930"/>
    <w:rsid w:val="00BE3DA1"/>
    <w:rsid w:val="00BF3324"/>
    <w:rsid w:val="00C05680"/>
    <w:rsid w:val="00C14F60"/>
    <w:rsid w:val="00C20022"/>
    <w:rsid w:val="00C2070C"/>
    <w:rsid w:val="00C2264B"/>
    <w:rsid w:val="00C268A9"/>
    <w:rsid w:val="00C34E69"/>
    <w:rsid w:val="00C4252A"/>
    <w:rsid w:val="00C663A6"/>
    <w:rsid w:val="00C80047"/>
    <w:rsid w:val="00C816B0"/>
    <w:rsid w:val="00CA2B11"/>
    <w:rsid w:val="00CA6502"/>
    <w:rsid w:val="00CB5562"/>
    <w:rsid w:val="00CD04C9"/>
    <w:rsid w:val="00CD56D3"/>
    <w:rsid w:val="00CD6874"/>
    <w:rsid w:val="00CD788C"/>
    <w:rsid w:val="00CE3233"/>
    <w:rsid w:val="00CE396D"/>
    <w:rsid w:val="00CE65EF"/>
    <w:rsid w:val="00D0743A"/>
    <w:rsid w:val="00D10D8C"/>
    <w:rsid w:val="00D11AF1"/>
    <w:rsid w:val="00D20EC4"/>
    <w:rsid w:val="00D455F1"/>
    <w:rsid w:val="00D475DD"/>
    <w:rsid w:val="00D52299"/>
    <w:rsid w:val="00D53DB9"/>
    <w:rsid w:val="00D571A1"/>
    <w:rsid w:val="00D6253D"/>
    <w:rsid w:val="00D62FE9"/>
    <w:rsid w:val="00D64D7C"/>
    <w:rsid w:val="00D77392"/>
    <w:rsid w:val="00D8181C"/>
    <w:rsid w:val="00D8389C"/>
    <w:rsid w:val="00D84250"/>
    <w:rsid w:val="00D84D79"/>
    <w:rsid w:val="00D91568"/>
    <w:rsid w:val="00D97846"/>
    <w:rsid w:val="00DA270B"/>
    <w:rsid w:val="00DA3C79"/>
    <w:rsid w:val="00DA45CC"/>
    <w:rsid w:val="00DC414B"/>
    <w:rsid w:val="00DC7AA6"/>
    <w:rsid w:val="00DE2DA1"/>
    <w:rsid w:val="00DF7371"/>
    <w:rsid w:val="00E023DA"/>
    <w:rsid w:val="00E050B3"/>
    <w:rsid w:val="00E0618A"/>
    <w:rsid w:val="00E1274E"/>
    <w:rsid w:val="00E16E5C"/>
    <w:rsid w:val="00E270C9"/>
    <w:rsid w:val="00E30230"/>
    <w:rsid w:val="00E37B4D"/>
    <w:rsid w:val="00E53746"/>
    <w:rsid w:val="00E54960"/>
    <w:rsid w:val="00E57402"/>
    <w:rsid w:val="00E61054"/>
    <w:rsid w:val="00E65D70"/>
    <w:rsid w:val="00E72AB2"/>
    <w:rsid w:val="00E741DA"/>
    <w:rsid w:val="00E84F7F"/>
    <w:rsid w:val="00E85E96"/>
    <w:rsid w:val="00E9783C"/>
    <w:rsid w:val="00EA291E"/>
    <w:rsid w:val="00EA372E"/>
    <w:rsid w:val="00EA5D38"/>
    <w:rsid w:val="00EB2CB1"/>
    <w:rsid w:val="00EB3983"/>
    <w:rsid w:val="00EB47E1"/>
    <w:rsid w:val="00EC13E9"/>
    <w:rsid w:val="00ED43C5"/>
    <w:rsid w:val="00ED59B9"/>
    <w:rsid w:val="00ED6989"/>
    <w:rsid w:val="00EE39FF"/>
    <w:rsid w:val="00EE6856"/>
    <w:rsid w:val="00EF171A"/>
    <w:rsid w:val="00EF4631"/>
    <w:rsid w:val="00F0125A"/>
    <w:rsid w:val="00F0130C"/>
    <w:rsid w:val="00F11862"/>
    <w:rsid w:val="00F143F4"/>
    <w:rsid w:val="00F14C0B"/>
    <w:rsid w:val="00F15411"/>
    <w:rsid w:val="00F2004A"/>
    <w:rsid w:val="00F32CC1"/>
    <w:rsid w:val="00F3348D"/>
    <w:rsid w:val="00F66218"/>
    <w:rsid w:val="00F7191F"/>
    <w:rsid w:val="00F74A74"/>
    <w:rsid w:val="00F74E2D"/>
    <w:rsid w:val="00F76954"/>
    <w:rsid w:val="00F82ED9"/>
    <w:rsid w:val="00F85EEC"/>
    <w:rsid w:val="00F94FDE"/>
    <w:rsid w:val="00F96C5B"/>
    <w:rsid w:val="00FA649E"/>
    <w:rsid w:val="00FB6A95"/>
    <w:rsid w:val="00FC3E4D"/>
    <w:rsid w:val="00FC540B"/>
    <w:rsid w:val="00FC605D"/>
    <w:rsid w:val="00FD17FE"/>
    <w:rsid w:val="00FD3D8B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493972-EA84-4F89-AA15-ADABA97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5E5B1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5E5B1D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5E5B1D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B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B1D"/>
  </w:style>
  <w:style w:type="paragraph" w:styleId="a5">
    <w:name w:val="footer"/>
    <w:basedOn w:val="a"/>
    <w:rsid w:val="005E5B1D"/>
    <w:pPr>
      <w:tabs>
        <w:tab w:val="center" w:pos="4677"/>
        <w:tab w:val="right" w:pos="9355"/>
      </w:tabs>
    </w:pPr>
  </w:style>
  <w:style w:type="character" w:styleId="a6">
    <w:name w:val="Emphasis"/>
    <w:qFormat/>
    <w:rsid w:val="005E5B1D"/>
    <w:rPr>
      <w:i/>
      <w:iCs/>
    </w:rPr>
  </w:style>
  <w:style w:type="paragraph" w:customStyle="1" w:styleId="a7">
    <w:name w:val="Пункт"/>
    <w:basedOn w:val="a"/>
    <w:rsid w:val="005E5B1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Андреевских Татьяна Юрьевна</cp:lastModifiedBy>
  <cp:revision>2</cp:revision>
  <cp:lastPrinted>2015-06-16T10:06:00Z</cp:lastPrinted>
  <dcterms:created xsi:type="dcterms:W3CDTF">2015-06-16T10:13:00Z</dcterms:created>
  <dcterms:modified xsi:type="dcterms:W3CDTF">2015-06-16T10:13:00Z</dcterms:modified>
</cp:coreProperties>
</file>