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16" w:rsidRPr="00660161" w:rsidRDefault="00B25116">
      <w:pPr>
        <w:pStyle w:val="1"/>
        <w:rPr>
          <w:sz w:val="24"/>
        </w:rPr>
      </w:pPr>
      <w:r w:rsidRPr="00660161">
        <w:rPr>
          <w:sz w:val="24"/>
        </w:rPr>
        <w:t xml:space="preserve">Техническое задание </w:t>
      </w:r>
    </w:p>
    <w:p w:rsidR="00845BEA" w:rsidRPr="00D57AC8" w:rsidRDefault="00A712F7" w:rsidP="00F112D5">
      <w:pPr>
        <w:shd w:val="clear" w:color="auto" w:fill="FFFFFF"/>
        <w:rPr>
          <w:b/>
        </w:rPr>
      </w:pPr>
      <w:r>
        <w:rPr>
          <w:b/>
        </w:rPr>
        <w:t xml:space="preserve">                         </w:t>
      </w:r>
      <w:r w:rsidR="00FB116E">
        <w:rPr>
          <w:b/>
        </w:rPr>
        <w:t xml:space="preserve">             </w:t>
      </w:r>
      <w:r w:rsidR="00F112D5">
        <w:rPr>
          <w:b/>
        </w:rPr>
        <w:t xml:space="preserve">       </w:t>
      </w:r>
      <w:r w:rsidR="00D57AC8">
        <w:rPr>
          <w:b/>
        </w:rPr>
        <w:t xml:space="preserve">   </w:t>
      </w:r>
      <w:r w:rsidR="009A3941" w:rsidRPr="00A712F7">
        <w:rPr>
          <w:b/>
        </w:rPr>
        <w:t>н</w:t>
      </w:r>
      <w:r w:rsidR="00B25116" w:rsidRPr="00A712F7">
        <w:rPr>
          <w:b/>
        </w:rPr>
        <w:t>а</w:t>
      </w:r>
      <w:r w:rsidR="009A3941" w:rsidRPr="00A712F7">
        <w:rPr>
          <w:b/>
        </w:rPr>
        <w:t xml:space="preserve"> </w:t>
      </w:r>
      <w:r w:rsidR="00B25116" w:rsidRPr="00A712F7">
        <w:rPr>
          <w:b/>
        </w:rPr>
        <w:t xml:space="preserve"> выполнение</w:t>
      </w:r>
      <w:r w:rsidR="009A3941" w:rsidRPr="00A712F7">
        <w:rPr>
          <w:b/>
        </w:rPr>
        <w:t xml:space="preserve"> </w:t>
      </w:r>
      <w:r w:rsidR="00F112D5">
        <w:rPr>
          <w:b/>
        </w:rPr>
        <w:t xml:space="preserve"> </w:t>
      </w:r>
      <w:r w:rsidRPr="00A712F7">
        <w:rPr>
          <w:b/>
        </w:rPr>
        <w:t xml:space="preserve">работ </w:t>
      </w:r>
      <w:r w:rsidR="009A3941" w:rsidRPr="00A712F7">
        <w:rPr>
          <w:b/>
        </w:rPr>
        <w:t xml:space="preserve"> </w:t>
      </w:r>
      <w:r w:rsidR="00660161" w:rsidRPr="00A712F7">
        <w:rPr>
          <w:b/>
        </w:rPr>
        <w:t xml:space="preserve"> </w:t>
      </w:r>
      <w:r w:rsidR="00013BAA" w:rsidRPr="00A712F7">
        <w:rPr>
          <w:b/>
        </w:rPr>
        <w:t xml:space="preserve">по </w:t>
      </w:r>
      <w:r w:rsidRPr="00A712F7">
        <w:rPr>
          <w:b/>
        </w:rPr>
        <w:t xml:space="preserve"> </w:t>
      </w:r>
      <w:r w:rsidR="00CD6EF0">
        <w:rPr>
          <w:b/>
          <w:snapToGrid w:val="0"/>
        </w:rPr>
        <w:t xml:space="preserve"> </w:t>
      </w:r>
      <w:r w:rsidR="00BB0F82">
        <w:rPr>
          <w:b/>
          <w:snapToGrid w:val="0"/>
        </w:rPr>
        <w:t xml:space="preserve"> </w:t>
      </w:r>
      <w:r w:rsidR="00277B1E">
        <w:rPr>
          <w:b/>
          <w:snapToGrid w:val="0"/>
        </w:rPr>
        <w:t xml:space="preserve">строительству </w:t>
      </w:r>
      <w:r w:rsidR="001809A7">
        <w:rPr>
          <w:b/>
          <w:snapToGrid w:val="0"/>
        </w:rPr>
        <w:t xml:space="preserve"> </w:t>
      </w:r>
      <w:r w:rsidR="00D57AC8">
        <w:rPr>
          <w:b/>
          <w:snapToGrid w:val="0"/>
        </w:rPr>
        <w:t>БКТП – 2х1000кВа  в мкр.8   с  сетями</w:t>
      </w:r>
      <w:r w:rsidR="000E7898">
        <w:rPr>
          <w:b/>
          <w:snapToGrid w:val="0"/>
        </w:rPr>
        <w:t xml:space="preserve"> </w:t>
      </w:r>
      <w:r w:rsidR="00D57AC8">
        <w:rPr>
          <w:b/>
          <w:snapToGrid w:val="0"/>
        </w:rPr>
        <w:t xml:space="preserve">   </w:t>
      </w:r>
      <w:r w:rsidR="000E7898">
        <w:rPr>
          <w:b/>
          <w:snapToGrid w:val="0"/>
        </w:rPr>
        <w:t>электроснабжения</w:t>
      </w:r>
      <w:r w:rsidR="00950A77">
        <w:rPr>
          <w:b/>
          <w:snapToGrid w:val="0"/>
        </w:rPr>
        <w:t>.</w:t>
      </w:r>
    </w:p>
    <w:p w:rsidR="00CD6EF0" w:rsidRPr="00AA2636" w:rsidRDefault="00CD6EF0" w:rsidP="00F112D5">
      <w:pPr>
        <w:shd w:val="clear" w:color="auto" w:fill="FFFFFF"/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0E179B">
        <w:trPr>
          <w:trHeight w:val="8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Наименование </w:t>
            </w:r>
            <w:r w:rsidR="00D57361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0E179B" w:rsidRDefault="00D57AC8" w:rsidP="00D57AC8">
            <w:pPr>
              <w:ind w:right="12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D57AC8" w:rsidRPr="00D57AC8" w:rsidRDefault="00D57AC8" w:rsidP="00D57AC8">
            <w:pPr>
              <w:ind w:right="128"/>
              <w:jc w:val="both"/>
              <w:rPr>
                <w:snapToGrid w:val="0"/>
              </w:rPr>
            </w:pPr>
            <w:r w:rsidRPr="00D57AC8">
              <w:rPr>
                <w:snapToGrid w:val="0"/>
              </w:rPr>
              <w:t>Строительство  БКТП – 2х1000кВа  в мкр.8   с  сетями    электроснабжения.</w:t>
            </w:r>
          </w:p>
          <w:p w:rsidR="000E7898" w:rsidRPr="000E7898" w:rsidRDefault="000E7898" w:rsidP="000E7898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9B6D01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D57AC8">
              <w:rPr>
                <w:sz w:val="22"/>
                <w:szCs w:val="22"/>
              </w:rPr>
              <w:t>, мкр.8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EA0A71" w:rsidRPr="004E4FA0" w:rsidRDefault="00951872" w:rsidP="00E51B29">
            <w:pPr>
              <w:rPr>
                <w:color w:val="000000"/>
              </w:rPr>
            </w:pPr>
            <w:bookmarkStart w:id="0" w:name="OLE_LINK1"/>
            <w:bookmarkStart w:id="1" w:name="OLE_LINK2"/>
            <w:r>
              <w:t xml:space="preserve">      </w:t>
            </w:r>
            <w:r w:rsidR="00E51B29" w:rsidRPr="004E4FA0">
              <w:t>1)</w:t>
            </w:r>
            <w:r w:rsidR="00D57AC8" w:rsidRPr="004E4FA0">
              <w:t xml:space="preserve"> </w:t>
            </w:r>
            <w:r>
              <w:t xml:space="preserve">  </w:t>
            </w:r>
            <w:r w:rsidR="00D57AC8" w:rsidRPr="004E4FA0">
              <w:t xml:space="preserve">БКТП-2х1000кВА; </w:t>
            </w:r>
          </w:p>
          <w:p w:rsidR="00D57AC8" w:rsidRPr="004E4FA0" w:rsidRDefault="00E51B29" w:rsidP="00E51B29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 w:rsidRPr="004E4FA0">
              <w:t>4</w:t>
            </w:r>
            <w:r w:rsidR="00D57AC8" w:rsidRPr="004E4FA0">
              <w:t xml:space="preserve">КЛ-10кВ </w:t>
            </w:r>
            <w:r w:rsidRPr="004E4FA0">
              <w:t xml:space="preserve"> от БКТП-2х1000кВА  до места  врезки в </w:t>
            </w:r>
            <w:r w:rsidR="00951872">
              <w:t xml:space="preserve"> КЛ от </w:t>
            </w:r>
            <w:r w:rsidRPr="004E4FA0">
              <w:t xml:space="preserve"> ТП-369 - ТП-370    </w:t>
            </w:r>
          </w:p>
          <w:p w:rsidR="000E179B" w:rsidRPr="004E4FA0" w:rsidRDefault="000E179B" w:rsidP="00E51B29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 w:rsidRPr="004E4FA0">
              <w:rPr>
                <w:color w:val="000000"/>
              </w:rPr>
              <w:t xml:space="preserve"> КЛ-0,4кВ от БКТП - 2х1000кВа до ж/д ул.Энергетиков, 41;</w:t>
            </w:r>
          </w:p>
          <w:p w:rsidR="000E179B" w:rsidRPr="004E4FA0" w:rsidRDefault="000E179B" w:rsidP="00E51B29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 w:rsidRPr="004E4FA0">
              <w:rPr>
                <w:color w:val="000000"/>
              </w:rPr>
              <w:t xml:space="preserve"> КЛ-0,4кВ от БКТП - 2х1000кВа  до ж/д ул.Энергетиков, 43;</w:t>
            </w:r>
          </w:p>
          <w:p w:rsidR="000E179B" w:rsidRPr="00EA0A71" w:rsidRDefault="000E179B" w:rsidP="00E51B29">
            <w:pPr>
              <w:pStyle w:val="ac"/>
              <w:numPr>
                <w:ilvl w:val="0"/>
                <w:numId w:val="36"/>
              </w:numPr>
              <w:rPr>
                <w:color w:val="000000"/>
              </w:rPr>
            </w:pPr>
            <w:r w:rsidRPr="004E4FA0">
              <w:rPr>
                <w:color w:val="000000"/>
              </w:rPr>
              <w:t xml:space="preserve"> КЛ-0,4кВ от БКТП - 2х1000кВа  до ж/д ул.Энергетиков, 39;</w:t>
            </w:r>
            <w:bookmarkEnd w:id="0"/>
            <w:bookmarkEnd w:id="1"/>
          </w:p>
        </w:tc>
      </w:tr>
      <w:tr w:rsidR="00B25116" w:rsidRPr="009F03B7" w:rsidTr="000E179B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>
              <w:rPr>
                <w:sz w:val="22"/>
                <w:szCs w:val="22"/>
              </w:rPr>
              <w:t xml:space="preserve">Сроки выполнения работ </w:t>
            </w:r>
            <w:r w:rsidR="00520CFB">
              <w:rPr>
                <w:sz w:val="22"/>
                <w:szCs w:val="22"/>
              </w:rPr>
              <w:t xml:space="preserve"> </w:t>
            </w:r>
            <w:r w:rsidR="00520CFB" w:rsidRPr="009F03B7">
              <w:rPr>
                <w:sz w:val="22"/>
                <w:szCs w:val="22"/>
              </w:rPr>
              <w:t xml:space="preserve"> с</w:t>
            </w:r>
            <w:r w:rsidR="00520CFB">
              <w:rPr>
                <w:sz w:val="22"/>
                <w:szCs w:val="22"/>
              </w:rPr>
              <w:t xml:space="preserve"> </w:t>
            </w:r>
            <w:r w:rsidR="00520CFB" w:rsidRPr="009F03B7">
              <w:rPr>
                <w:sz w:val="22"/>
                <w:szCs w:val="22"/>
              </w:rPr>
              <w:t xml:space="preserve"> </w:t>
            </w:r>
            <w:r w:rsidR="006A2893">
              <w:rPr>
                <w:sz w:val="22"/>
                <w:szCs w:val="22"/>
              </w:rPr>
              <w:t xml:space="preserve">момента заключения договора </w:t>
            </w:r>
            <w:r w:rsidR="00CD6EF0">
              <w:rPr>
                <w:sz w:val="22"/>
                <w:szCs w:val="22"/>
              </w:rPr>
              <w:t xml:space="preserve"> по 31.12.15</w:t>
            </w:r>
            <w:r w:rsidR="00B87E5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  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>ъекты электроснабжения до 110 кВ</w:t>
            </w:r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альным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>. «Виды работ по строительству, 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lastRenderedPageBreak/>
              <w:t>струкции и капитальному ремонту»  приказа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0E179B" w:rsidP="009F03B7">
            <w:pPr>
              <w:ind w:right="128"/>
            </w:pPr>
            <w:r>
              <w:rPr>
                <w:rFonts w:eastAsia="Arial Unicode MS"/>
                <w:sz w:val="22"/>
                <w:szCs w:val="22"/>
              </w:rPr>
              <w:t>Т</w:t>
            </w:r>
            <w:r w:rsidR="00D26403" w:rsidRPr="00CD6874">
              <w:rPr>
                <w:rFonts w:eastAsia="Arial Unicode MS"/>
                <w:sz w:val="22"/>
                <w:szCs w:val="22"/>
              </w:rPr>
              <w:t>ребуетс</w:t>
            </w:r>
            <w:r w:rsidR="00D26403">
              <w:rPr>
                <w:rFonts w:eastAsia="Arial Unicode MS"/>
                <w:sz w:val="22"/>
                <w:szCs w:val="22"/>
              </w:rPr>
              <w:t xml:space="preserve">я. </w:t>
            </w: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AA2636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1E3D7A">
              <w:rPr>
                <w:sz w:val="22"/>
                <w:szCs w:val="22"/>
              </w:rPr>
              <w:t xml:space="preserve">дрядчик  </w:t>
            </w:r>
            <w:r w:rsidR="00660161" w:rsidRPr="009F03B7">
              <w:rPr>
                <w:sz w:val="22"/>
                <w:szCs w:val="22"/>
              </w:rPr>
              <w:t>в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E9783C" w:rsidRPr="009F03B7">
              <w:rPr>
                <w:sz w:val="22"/>
                <w:szCs w:val="22"/>
              </w:rPr>
              <w:t>закупочной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документации</w:t>
            </w:r>
            <w:r w:rsidR="001E3D7A">
              <w:rPr>
                <w:sz w:val="22"/>
                <w:szCs w:val="22"/>
              </w:rPr>
              <w:t xml:space="preserve">  </w:t>
            </w:r>
            <w:r w:rsidR="00660161" w:rsidRPr="009F03B7">
              <w:rPr>
                <w:sz w:val="22"/>
                <w:szCs w:val="22"/>
              </w:rPr>
              <w:t xml:space="preserve">обязан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представить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сметную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документацию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по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каждому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виду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Работ</w:t>
            </w:r>
            <w:r w:rsidR="00491BEC" w:rsidRPr="009F03B7">
              <w:rPr>
                <w:sz w:val="22"/>
                <w:szCs w:val="22"/>
              </w:rPr>
              <w:t>,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предоставлением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расчета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индекса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удорожания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стоимости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Работ, в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соответствии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принятыми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в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отрасли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Н</w:t>
            </w:r>
            <w:r w:rsidR="00E54960" w:rsidRPr="009F03B7">
              <w:rPr>
                <w:sz w:val="22"/>
                <w:szCs w:val="22"/>
              </w:rPr>
              <w:t>Т</w:t>
            </w:r>
            <w:r w:rsidR="00491BEC" w:rsidRPr="009F03B7">
              <w:rPr>
                <w:sz w:val="22"/>
                <w:szCs w:val="22"/>
              </w:rPr>
              <w:t>Д.</w:t>
            </w:r>
            <w:r w:rsidR="004E53B4">
              <w:rPr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B765EC" w:rsidRDefault="00256E45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  <w:r w:rsidRPr="00941FC7">
              <w:rPr>
                <w:sz w:val="22"/>
                <w:szCs w:val="22"/>
              </w:rPr>
              <w:t xml:space="preserve">Подрядчик  должен  разработать, согласовать  с  Заказчиком  и  выполнить  комплекс  организационно-технических, подготовительных  мероприятий  в  соответствии  с  п. 2.7  СО 34.04.181-2003  «Правила  организации  технического  обслуживания  и  ремонта  оборудования, зданий  и  сооружений электростанций  и  сетей», </w:t>
            </w:r>
            <w:r w:rsidR="00002A3F"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СНиП 2.01.0</w:t>
            </w:r>
            <w:r w:rsidR="00002A3F">
              <w:rPr>
                <w:sz w:val="22"/>
                <w:szCs w:val="22"/>
              </w:rPr>
              <w:t xml:space="preserve">2-85  «Противопожарные  нормы». </w:t>
            </w: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11577" w:rsidRDefault="00111577" w:rsidP="00430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 предъявляет Комиссии по приемке: исполнительную документацию  в полном объеме  согласно требований  </w:t>
            </w:r>
            <w:r w:rsidRPr="00941FC7">
              <w:rPr>
                <w:sz w:val="22"/>
                <w:szCs w:val="22"/>
              </w:rPr>
              <w:t>СО 34.04.181-2003 «Правила  организации  технического  обслуживания  и  ремонта  оборудования, зданий  и  сооружений электростанций  и  сетей»</w:t>
            </w:r>
            <w:r>
              <w:rPr>
                <w:sz w:val="22"/>
                <w:szCs w:val="22"/>
              </w:rPr>
              <w:t>,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  <w:p w:rsidR="001D6590" w:rsidRPr="00180969" w:rsidRDefault="001D6590" w:rsidP="004308F9">
            <w:pPr>
              <w:jc w:val="both"/>
              <w:rPr>
                <w:sz w:val="22"/>
                <w:szCs w:val="22"/>
              </w:rPr>
            </w:pPr>
            <w:r w:rsidRPr="00C95ADA">
              <w:rPr>
                <w:sz w:val="22"/>
                <w:szCs w:val="22"/>
              </w:rPr>
              <w:t>Заказчик осуществляет приемку оборудования из ремонта с подписанием технического акта подтверждающ</w:t>
            </w:r>
            <w:r>
              <w:rPr>
                <w:sz w:val="22"/>
                <w:szCs w:val="22"/>
              </w:rPr>
              <w:t xml:space="preserve">его </w:t>
            </w:r>
            <w:r w:rsidRPr="00C95ADA">
              <w:rPr>
                <w:sz w:val="22"/>
                <w:szCs w:val="22"/>
              </w:rPr>
              <w:t>сроки  и  качество  выполненных  работ</w:t>
            </w:r>
            <w:r>
              <w:rPr>
                <w:sz w:val="22"/>
                <w:szCs w:val="22"/>
              </w:rPr>
              <w:t>.</w:t>
            </w:r>
            <w:r w:rsidRPr="00C95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случа</w:t>
            </w:r>
            <w:r w:rsidR="004308F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ухудшения характеристик оборудования или при выявлении дефектов, ограничивающих его работу, Подрядчик должен за свой счет и </w:t>
            </w:r>
            <w:r>
              <w:rPr>
                <w:sz w:val="22"/>
                <w:szCs w:val="22"/>
              </w:rPr>
              <w:lastRenderedPageBreak/>
              <w:t xml:space="preserve">в согласованные с Заказчиком сроки устранить замечания.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42635D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выполнения данных работ </w:t>
            </w:r>
            <w:r w:rsidRPr="00941FC7">
              <w:rPr>
                <w:sz w:val="22"/>
                <w:szCs w:val="22"/>
              </w:rPr>
              <w:t xml:space="preserve">Подрядчик  должен  иметь  опыт  работы  в  течение  последних  5  </w:t>
            </w:r>
            <w:r>
              <w:rPr>
                <w:sz w:val="22"/>
                <w:szCs w:val="22"/>
              </w:rPr>
              <w:t xml:space="preserve">(пяти) </w:t>
            </w:r>
            <w:r w:rsidRPr="00941FC7">
              <w:rPr>
                <w:sz w:val="22"/>
                <w:szCs w:val="22"/>
              </w:rPr>
              <w:t xml:space="preserve">лет. </w:t>
            </w:r>
            <w:r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не менее 3 (трех) лет, аттестованными и имеющими удостоверения установленного образца. Подрядчик должен быть </w:t>
            </w:r>
            <w:r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>
              <w:rPr>
                <w:sz w:val="22"/>
                <w:szCs w:val="22"/>
              </w:rPr>
              <w:t>о</w:t>
            </w:r>
            <w:r w:rsidRPr="00941FC7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необходимыми для выполнения данного вида работ.</w:t>
            </w:r>
            <w:r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r w:rsidR="0042635D" w:rsidRPr="000F6D1E">
              <w:rPr>
                <w:sz w:val="22"/>
                <w:szCs w:val="22"/>
              </w:rPr>
              <w:t>дневный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</w:t>
            </w:r>
            <w:r w:rsidR="00F907B2">
              <w:rPr>
                <w:sz w:val="22"/>
                <w:szCs w:val="22"/>
              </w:rPr>
              <w:t>-</w:t>
            </w:r>
            <w:r w:rsidR="0042635D" w:rsidRPr="0042635D">
              <w:rPr>
                <w:sz w:val="22"/>
                <w:szCs w:val="22"/>
              </w:rPr>
              <w:t>ющего требования 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1B286C" w:rsidRDefault="001B286C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Для выполнения </w:t>
            </w:r>
            <w:r>
              <w:rPr>
                <w:sz w:val="22"/>
                <w:szCs w:val="22"/>
              </w:rPr>
              <w:t>работ</w:t>
            </w:r>
            <w:r w:rsidRPr="00312513">
              <w:rPr>
                <w:sz w:val="22"/>
                <w:szCs w:val="22"/>
              </w:rPr>
              <w:t xml:space="preserve"> Подрядчик обеспечивает  поставку  МТР в  соответствии  с  перечнем  материально-технических  ресурсов  (далее – МТР) </w:t>
            </w:r>
            <w:r>
              <w:rPr>
                <w:sz w:val="22"/>
                <w:szCs w:val="22"/>
              </w:rPr>
              <w:t xml:space="preserve">в соответствии с   </w:t>
            </w:r>
            <w:r w:rsidRPr="00312513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>м №2 к техническому заданию</w:t>
            </w:r>
            <w:r w:rsidRPr="0031251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       </w:t>
            </w:r>
          </w:p>
          <w:p w:rsidR="00312513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>Заказчик поставляет оборудование  в  соответствии  с  Приложением  №</w:t>
            </w:r>
            <w:r w:rsidR="00191263">
              <w:rPr>
                <w:sz w:val="22"/>
                <w:szCs w:val="22"/>
              </w:rPr>
              <w:t>3</w:t>
            </w:r>
            <w:r w:rsidRPr="00312513">
              <w:rPr>
                <w:sz w:val="22"/>
                <w:szCs w:val="22"/>
              </w:rPr>
              <w:t xml:space="preserve"> к техническому заданию.  </w:t>
            </w:r>
          </w:p>
          <w:p w:rsidR="001D6590" w:rsidRPr="007A2EDD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             </w:t>
            </w:r>
          </w:p>
        </w:tc>
      </w:tr>
      <w:tr w:rsidR="001D6590" w:rsidRPr="009F03B7" w:rsidTr="00845BEA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111577" w:rsidP="00EA0A71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 w:rsidR="00AC7866">
              <w:rPr>
                <w:sz w:val="22"/>
                <w:szCs w:val="22"/>
              </w:rPr>
              <w:t xml:space="preserve">дства, не бывшим в эксплуатации и соответствовать  требования техники безопасности ГОСТ 12.20074-75. По степени защиты от поражения  эл.током,  поставляемое оборудование должно быть выполнено в соответствии  с   ГОСТ 14254-96. 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поставляемые для работ материалы и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 xml:space="preserve">выполненных работ .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7B2B25" w:rsidP="004308F9">
            <w:pPr>
              <w:rPr>
                <w:b/>
                <w:bCs/>
              </w:rPr>
            </w:pPr>
            <w:bookmarkStart w:id="2" w:name="_GoBack"/>
            <w:bookmarkEnd w:id="2"/>
          </w:p>
        </w:tc>
        <w:tc>
          <w:tcPr>
            <w:tcW w:w="3140" w:type="dxa"/>
            <w:vAlign w:val="center"/>
          </w:tcPr>
          <w:p w:rsidR="007B2B25" w:rsidRPr="004308F9" w:rsidRDefault="007B2B25" w:rsidP="007B2B25"/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7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08" w:rsidRDefault="00D47C08">
      <w:r>
        <w:separator/>
      </w:r>
    </w:p>
  </w:endnote>
  <w:endnote w:type="continuationSeparator" w:id="0">
    <w:p w:rsidR="00D47C08" w:rsidRDefault="00D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316E85">
      <w:rPr>
        <w:rStyle w:val="a4"/>
        <w:noProof/>
        <w:sz w:val="16"/>
      </w:rPr>
      <w:t>4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316E85">
      <w:rPr>
        <w:rStyle w:val="a4"/>
        <w:noProof/>
        <w:sz w:val="16"/>
      </w:rPr>
      <w:t>5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08" w:rsidRDefault="00D47C08">
      <w:r>
        <w:separator/>
      </w:r>
    </w:p>
  </w:footnote>
  <w:footnote w:type="continuationSeparator" w:id="0">
    <w:p w:rsidR="00D47C08" w:rsidRDefault="00D4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B2B94"/>
    <w:rsid w:val="002C2B29"/>
    <w:rsid w:val="002C57E7"/>
    <w:rsid w:val="002D2E6C"/>
    <w:rsid w:val="002D30F5"/>
    <w:rsid w:val="002E2EE2"/>
    <w:rsid w:val="002F7086"/>
    <w:rsid w:val="002F750B"/>
    <w:rsid w:val="003028E4"/>
    <w:rsid w:val="00310DDD"/>
    <w:rsid w:val="00312513"/>
    <w:rsid w:val="00313BFB"/>
    <w:rsid w:val="00316E85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507D3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76FD"/>
    <w:rsid w:val="00612817"/>
    <w:rsid w:val="00612A95"/>
    <w:rsid w:val="00613882"/>
    <w:rsid w:val="00613CE4"/>
    <w:rsid w:val="00620280"/>
    <w:rsid w:val="0062029F"/>
    <w:rsid w:val="00622142"/>
    <w:rsid w:val="0062263A"/>
    <w:rsid w:val="00623D09"/>
    <w:rsid w:val="00631090"/>
    <w:rsid w:val="006321C3"/>
    <w:rsid w:val="00633F9E"/>
    <w:rsid w:val="006360FA"/>
    <w:rsid w:val="006405A7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50A0"/>
    <w:rsid w:val="00746D21"/>
    <w:rsid w:val="007569FA"/>
    <w:rsid w:val="007625C9"/>
    <w:rsid w:val="0077010C"/>
    <w:rsid w:val="00772E67"/>
    <w:rsid w:val="007779AE"/>
    <w:rsid w:val="00785461"/>
    <w:rsid w:val="007907F2"/>
    <w:rsid w:val="0079198B"/>
    <w:rsid w:val="007952CF"/>
    <w:rsid w:val="00795F3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6058B"/>
    <w:rsid w:val="00862256"/>
    <w:rsid w:val="008664E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7303"/>
    <w:rsid w:val="00A11222"/>
    <w:rsid w:val="00A173C1"/>
    <w:rsid w:val="00A23F81"/>
    <w:rsid w:val="00A24553"/>
    <w:rsid w:val="00A25C1F"/>
    <w:rsid w:val="00A27D3E"/>
    <w:rsid w:val="00A336FA"/>
    <w:rsid w:val="00A34699"/>
    <w:rsid w:val="00A712F7"/>
    <w:rsid w:val="00A720B9"/>
    <w:rsid w:val="00A7460E"/>
    <w:rsid w:val="00A82195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1C2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63A6"/>
    <w:rsid w:val="00C80047"/>
    <w:rsid w:val="00C816B0"/>
    <w:rsid w:val="00C961BD"/>
    <w:rsid w:val="00CA2B11"/>
    <w:rsid w:val="00CA3842"/>
    <w:rsid w:val="00CA4BB3"/>
    <w:rsid w:val="00CA6502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181C"/>
    <w:rsid w:val="00D8389C"/>
    <w:rsid w:val="00D84250"/>
    <w:rsid w:val="00D84D79"/>
    <w:rsid w:val="00D91568"/>
    <w:rsid w:val="00D928C3"/>
    <w:rsid w:val="00D97846"/>
    <w:rsid w:val="00DA3C79"/>
    <w:rsid w:val="00DA45CC"/>
    <w:rsid w:val="00DA7227"/>
    <w:rsid w:val="00DC414B"/>
    <w:rsid w:val="00DC7AA6"/>
    <w:rsid w:val="00DE1888"/>
    <w:rsid w:val="00DE2DA1"/>
    <w:rsid w:val="00DF7371"/>
    <w:rsid w:val="00E023DA"/>
    <w:rsid w:val="00E03A79"/>
    <w:rsid w:val="00E050B3"/>
    <w:rsid w:val="00E119E0"/>
    <w:rsid w:val="00E1274E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649E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8334F64-9AF2-4A83-881C-4D96AAB4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36</cp:revision>
  <cp:lastPrinted>2015-04-03T04:15:00Z</cp:lastPrinted>
  <dcterms:created xsi:type="dcterms:W3CDTF">2008-09-30T08:09:00Z</dcterms:created>
  <dcterms:modified xsi:type="dcterms:W3CDTF">2015-04-09T07:15:00Z</dcterms:modified>
</cp:coreProperties>
</file>